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992"/>
        <w:gridCol w:w="6706"/>
      </w:tblGrid>
      <w:tr>
        <w:trPr>
          <w:trHeight w:val="543"/>
        </w:trPr>
        <w:tc>
          <w:tcPr>
            <w:tcW w:w="2367" w:type="dxa"/>
            <w:vMerge w:val="restart"/>
            <w:tcBorders>
              <w:right w:val="nil"/>
            </w:tcBorders>
            <w:vAlign w:val="center"/>
          </w:tcPr>
          <w:p>
            <w:pPr>
              <w:spacing w:before="120" w:line="180" w:lineRule="exact"/>
              <w:jc w:val="center"/>
              <w:rPr>
                <w:b/>
                <w:bCs/>
                <w:sz w:val="14"/>
                <w:szCs w:val="14"/>
              </w:rPr>
            </w:pPr>
            <w:r>
              <w:rPr>
                <w:b/>
                <w:bCs/>
                <w:sz w:val="14"/>
                <w:szCs w:val="14"/>
              </w:rPr>
              <w:t>Landesamt für Natur,</w:t>
            </w:r>
          </w:p>
          <w:p>
            <w:pPr>
              <w:spacing w:line="180" w:lineRule="exact"/>
              <w:jc w:val="center"/>
              <w:rPr>
                <w:b/>
                <w:bCs/>
                <w:sz w:val="14"/>
                <w:szCs w:val="14"/>
              </w:rPr>
            </w:pPr>
            <w:r>
              <w:rPr>
                <w:b/>
                <w:bCs/>
                <w:sz w:val="14"/>
                <w:szCs w:val="14"/>
              </w:rPr>
              <w:t>Umwelt und Klima</w:t>
            </w:r>
          </w:p>
          <w:p>
            <w:pPr>
              <w:spacing w:line="180" w:lineRule="exact"/>
              <w:jc w:val="center"/>
              <w:rPr>
                <w:b/>
                <w:bCs/>
                <w:sz w:val="14"/>
                <w:szCs w:val="14"/>
              </w:rPr>
            </w:pPr>
            <w:r>
              <w:rPr>
                <w:b/>
                <w:bCs/>
                <w:sz w:val="14"/>
                <w:szCs w:val="14"/>
              </w:rPr>
              <w:t>Nordrhein-Westfalen</w:t>
            </w:r>
          </w:p>
          <w:p>
            <w:pPr>
              <w:spacing w:after="120" w:line="180" w:lineRule="exact"/>
              <w:jc w:val="center"/>
              <w:rPr>
                <w:b/>
                <w:bCs/>
                <w:sz w:val="16"/>
                <w:szCs w:val="16"/>
              </w:rPr>
            </w:pPr>
            <w:r>
              <w:rPr>
                <w:b/>
                <w:bCs/>
                <w:sz w:val="14"/>
                <w:szCs w:val="14"/>
              </w:rPr>
              <w:t>- Fachbereich 17 -</w:t>
            </w:r>
          </w:p>
        </w:tc>
        <w:tc>
          <w:tcPr>
            <w:tcW w:w="992" w:type="dxa"/>
            <w:vMerge w:val="restart"/>
            <w:tcBorders>
              <w:left w:val="nil"/>
              <w:right w:val="single" w:sz="4" w:space="0" w:color="auto"/>
            </w:tcBorders>
          </w:tcPr>
          <w:p>
            <w:pPr>
              <w:spacing w:after="200" w:line="276" w:lineRule="auto"/>
              <w:rPr>
                <w:b/>
                <w:bCs/>
                <w:sz w:val="16"/>
                <w:szCs w:val="16"/>
              </w:rPr>
            </w:pPr>
            <w:r>
              <w:rPr>
                <w:noProof/>
                <w:sz w:val="24"/>
                <w:szCs w:val="24"/>
              </w:rPr>
              <w:drawing>
                <wp:anchor distT="0" distB="0" distL="114300" distR="114300" simplePos="0" relativeHeight="251659264" behindDoc="0" locked="0" layoutInCell="1" allowOverlap="0">
                  <wp:simplePos x="0" y="0"/>
                  <wp:positionH relativeFrom="column">
                    <wp:posOffset>-40592</wp:posOffset>
                  </wp:positionH>
                  <wp:positionV relativeFrom="paragraph">
                    <wp:posOffset>60325</wp:posOffset>
                  </wp:positionV>
                  <wp:extent cx="457200" cy="457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120" w:line="180" w:lineRule="exact"/>
              <w:rPr>
                <w:b/>
                <w:bCs/>
                <w:sz w:val="16"/>
                <w:szCs w:val="16"/>
              </w:rPr>
            </w:pPr>
          </w:p>
        </w:tc>
        <w:tc>
          <w:tcPr>
            <w:tcW w:w="6706" w:type="dxa"/>
            <w:tcBorders>
              <w:left w:val="single" w:sz="4" w:space="0" w:color="auto"/>
              <w:bottom w:val="nil"/>
            </w:tcBorders>
            <w:vAlign w:val="center"/>
          </w:tcPr>
          <w:p>
            <w:pPr>
              <w:spacing w:before="80" w:after="40"/>
              <w:jc w:val="center"/>
              <w:rPr>
                <w:bCs/>
                <w:sz w:val="20"/>
                <w:szCs w:val="20"/>
              </w:rPr>
            </w:pPr>
            <w:r>
              <w:rPr>
                <w:b/>
                <w:bCs/>
                <w:sz w:val="23"/>
                <w:szCs w:val="23"/>
              </w:rPr>
              <w:t>Plausibilisierung der Gemeinausgaben</w:t>
            </w:r>
          </w:p>
        </w:tc>
      </w:tr>
      <w:tr>
        <w:trPr>
          <w:trHeight w:val="403"/>
        </w:trPr>
        <w:tc>
          <w:tcPr>
            <w:tcW w:w="2367" w:type="dxa"/>
            <w:vMerge/>
            <w:tcBorders>
              <w:bottom w:val="single" w:sz="4" w:space="0" w:color="auto"/>
              <w:right w:val="nil"/>
            </w:tcBorders>
            <w:vAlign w:val="center"/>
          </w:tcPr>
          <w:p>
            <w:pPr>
              <w:spacing w:before="120" w:line="180" w:lineRule="exact"/>
              <w:jc w:val="center"/>
              <w:rPr>
                <w:b/>
                <w:bCs/>
                <w:sz w:val="14"/>
                <w:szCs w:val="14"/>
              </w:rPr>
            </w:pPr>
          </w:p>
        </w:tc>
        <w:tc>
          <w:tcPr>
            <w:tcW w:w="992" w:type="dxa"/>
            <w:vMerge/>
            <w:tcBorders>
              <w:left w:val="nil"/>
              <w:bottom w:val="single" w:sz="4" w:space="0" w:color="auto"/>
              <w:right w:val="single" w:sz="4" w:space="0" w:color="auto"/>
            </w:tcBorders>
          </w:tcPr>
          <w:p>
            <w:pPr>
              <w:spacing w:after="200" w:line="276" w:lineRule="auto"/>
              <w:rPr>
                <w:noProof/>
                <w:sz w:val="24"/>
                <w:szCs w:val="24"/>
              </w:rPr>
            </w:pPr>
          </w:p>
        </w:tc>
        <w:tc>
          <w:tcPr>
            <w:tcW w:w="6706" w:type="dxa"/>
            <w:tcBorders>
              <w:top w:val="nil"/>
              <w:left w:val="single" w:sz="4" w:space="0" w:color="auto"/>
              <w:bottom w:val="single" w:sz="4" w:space="0" w:color="auto"/>
            </w:tcBorders>
            <w:vAlign w:val="center"/>
          </w:tcPr>
          <w:p>
            <w:pPr>
              <w:spacing w:after="80"/>
              <w:jc w:val="center"/>
              <w:rPr>
                <w:b/>
                <w:bCs/>
                <w:sz w:val="23"/>
                <w:szCs w:val="23"/>
              </w:rPr>
            </w:pPr>
            <w:r>
              <w:rPr>
                <w:bCs/>
                <w:sz w:val="20"/>
                <w:szCs w:val="20"/>
              </w:rPr>
              <w:t xml:space="preserve">Anlage 8n zum Antrag vom </w:t>
            </w: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top w:val="single" w:sz="4" w:space="0" w:color="auto"/>
              <w:bottom w:val="nil"/>
            </w:tcBorders>
          </w:tcPr>
          <w:p>
            <w:pPr>
              <w:spacing w:before="60" w:after="100"/>
              <w:rPr>
                <w:bCs/>
                <w:sz w:val="20"/>
                <w:szCs w:val="20"/>
              </w:rPr>
            </w:pPr>
            <w:r>
              <w:rPr>
                <w:bCs/>
                <w:sz w:val="16"/>
                <w:szCs w:val="16"/>
              </w:rPr>
              <w:t>Antragstellerin / Antragsteller</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bottom w:val="nil"/>
            </w:tcBorders>
          </w:tcPr>
          <w:p>
            <w:pPr>
              <w:spacing w:before="60" w:after="100"/>
              <w:rPr>
                <w:bCs/>
                <w:sz w:val="20"/>
                <w:szCs w:val="20"/>
              </w:rPr>
            </w:pPr>
            <w:r>
              <w:rPr>
                <w:bCs/>
                <w:sz w:val="16"/>
                <w:szCs w:val="16"/>
              </w:rPr>
              <w:t>Bezeichnung der Maßnahme (Ziffer 2.1 des Antrags)</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pPr>
        <w:autoSpaceDE w:val="0"/>
        <w:autoSpaceDN w:val="0"/>
        <w:spacing w:before="120" w:line="320" w:lineRule="exact"/>
        <w:ind w:right="565"/>
        <w:rPr>
          <w:bCs/>
          <w:smallCaps/>
          <w:sz w:val="20"/>
          <w:szCs w:val="20"/>
        </w:rPr>
      </w:pPr>
    </w:p>
    <w:tbl>
      <w:tblPr>
        <w:tblStyle w:val="Tabellenraster"/>
        <w:tblW w:w="10065" w:type="dxa"/>
        <w:tblInd w:w="-431" w:type="dxa"/>
        <w:tblLook w:val="04A0" w:firstRow="1" w:lastRow="0" w:firstColumn="1" w:lastColumn="0" w:noHBand="0" w:noVBand="1"/>
      </w:tblPr>
      <w:tblGrid>
        <w:gridCol w:w="10065"/>
      </w:tblGrid>
      <w:tr>
        <w:trPr>
          <w:trHeight w:val="397"/>
        </w:trPr>
        <w:tc>
          <w:tcPr>
            <w:tcW w:w="10065" w:type="dxa"/>
            <w:tcBorders>
              <w:top w:val="single" w:sz="4" w:space="0" w:color="auto"/>
              <w:bottom w:val="nil"/>
            </w:tcBorders>
          </w:tcPr>
          <w:p>
            <w:pPr>
              <w:rPr>
                <w:color w:val="000000"/>
              </w:rPr>
            </w:pPr>
          </w:p>
          <w:p>
            <w:pPr>
              <w:rPr>
                <w:color w:val="000000"/>
              </w:rPr>
            </w:pPr>
            <w:r>
              <w:rPr>
                <w:color w:val="000000"/>
              </w:rPr>
              <w:t>Projektbezogene Gemeinausgaben sind in Höhe von 20 Prozent der Personalausgaben zuwendungsfähig. Eine Plausibilisierung der Gemeinausgaben ist grundsätzlich im Rahmen der Antragstellung erforderlich.</w:t>
            </w:r>
          </w:p>
          <w:p>
            <w:pPr>
              <w:rPr>
                <w:color w:val="000000"/>
              </w:rPr>
            </w:pPr>
          </w:p>
          <w:p>
            <w:pPr>
              <w:rPr>
                <w:color w:val="000000"/>
              </w:rPr>
            </w:pPr>
            <w:r>
              <w:rPr>
                <w:color w:val="000000"/>
              </w:rPr>
              <w:t>Legen Sie bitte die Grundlage zur Errechnung der Gemeinausgaben dar. Hierzu bitte ich Sie anhand einer Tabelle darzulegen, welche Positionen in die Gemeinausgaben einfließen. Die Tabelle können Sie dieser Erklärung beifügen.</w:t>
            </w:r>
          </w:p>
          <w:p>
            <w:pPr>
              <w:rPr>
                <w:color w:val="000000"/>
              </w:rPr>
            </w:pPr>
          </w:p>
          <w:p>
            <w:pPr>
              <w:rPr>
                <w:b/>
                <w:color w:val="000000"/>
              </w:rPr>
            </w:pPr>
            <w:r>
              <w:rPr>
                <w:b/>
                <w:color w:val="000000"/>
              </w:rPr>
              <w:t>Beachten Sie bitte, dass Positionen, die in die Gemeinausgaben einfließen, nicht separat im Verwendungsnachweis als Einzelbeleg abgerechnet werden dürfen.</w:t>
            </w:r>
          </w:p>
          <w:p>
            <w:pPr>
              <w:rPr>
                <w:color w:val="000000"/>
              </w:rPr>
            </w:pPr>
          </w:p>
          <w:p>
            <w:pPr>
              <w:rPr>
                <w:color w:val="000000"/>
              </w:rPr>
            </w:pPr>
            <w:r>
              <w:rPr>
                <w:color w:val="000000"/>
              </w:rPr>
              <w:t xml:space="preserve">Nach Abschluss des Projekts und mit Vorlage des Verwendungsnachweises müssen die Gemeinausgaben ggf. jährlich anhand des Jahresabschluss oder anderer Ausgabenbelege plausibilisiert und nachgewiesen werden. </w:t>
            </w:r>
            <w:r>
              <w:rPr>
                <w:color w:val="000000"/>
              </w:rPr>
              <w:br/>
            </w:r>
            <w:r>
              <w:rPr>
                <w:color w:val="000000"/>
              </w:rPr>
              <w:br/>
              <w:t>Nicht zuwendungsfähige Ausgaben sind:</w:t>
            </w:r>
          </w:p>
          <w:p>
            <w:pPr>
              <w:rPr>
                <w:color w:val="000000"/>
              </w:rPr>
            </w:pPr>
            <w:r>
              <w:rPr>
                <w:color w:val="000000"/>
              </w:rPr>
              <w:br/>
              <w:t>- Skonti, Rabatte, Kreditbeschaffungskosten einschließlich Zinsen,</w:t>
            </w:r>
            <w:r>
              <w:rPr>
                <w:color w:val="000000"/>
              </w:rPr>
              <w:br/>
              <w:t xml:space="preserve">- allgemeine Nebenkosten, insbesondere </w:t>
            </w:r>
            <w:proofErr w:type="spellStart"/>
            <w:r>
              <w:rPr>
                <w:color w:val="000000"/>
              </w:rPr>
              <w:t>Inseratskosten</w:t>
            </w:r>
            <w:proofErr w:type="spellEnd"/>
            <w:r>
              <w:rPr>
                <w:color w:val="000000"/>
              </w:rPr>
              <w:t>, Finanzierungskosten, Versicherung,</w:t>
            </w:r>
            <w:r>
              <w:rPr>
                <w:color w:val="000000"/>
              </w:rPr>
              <w:br/>
              <w:t>- die Mehrwertsteuer, sofern diese als Vorsteuer abziehbar ist,</w:t>
            </w:r>
            <w:r>
              <w:rPr>
                <w:color w:val="000000"/>
              </w:rPr>
              <w:br/>
              <w:t>- Ausgaben für Repräsentationszwecke, zum Beispiel Bewirtungskosten,</w:t>
            </w:r>
            <w:r>
              <w:rPr>
                <w:color w:val="000000"/>
              </w:rPr>
              <w:br/>
              <w:t>- Fremdzinsen sowie die kalkulatorischen Kosten für Gewinn, Abschreibungen und Einzelwagnisse oder</w:t>
            </w:r>
            <w:r>
              <w:rPr>
                <w:color w:val="000000"/>
              </w:rPr>
              <w:br/>
              <w:t>- Mehrausgaben aufgrund von Preissteigerungen und fehlerhaften Kalkulationen, die nach Bekanntgabe der Entscheidung über den Förderantrag geltend gemacht werden.</w:t>
            </w:r>
            <w:r>
              <w:rPr>
                <w:color w:val="000000"/>
              </w:rPr>
              <w:br/>
            </w:r>
            <w:r>
              <w:rPr>
                <w:color w:val="000000"/>
              </w:rPr>
              <w:br/>
            </w:r>
            <w:r>
              <w:rPr>
                <w:iCs/>
                <w:color w:val="000000"/>
              </w:rPr>
              <w:t>Beispiele</w:t>
            </w:r>
            <w:r>
              <w:rPr>
                <w:i/>
                <w:iCs/>
                <w:color w:val="000000"/>
              </w:rPr>
              <w:t xml:space="preserve"> </w:t>
            </w:r>
            <w:r>
              <w:rPr>
                <w:color w:val="000000"/>
              </w:rPr>
              <w:t xml:space="preserve">für zuwendungsfähige Gemeinausgaben sind: </w:t>
            </w:r>
          </w:p>
          <w:p>
            <w:pPr>
              <w:rPr>
                <w:color w:val="000000"/>
              </w:rPr>
            </w:pPr>
          </w:p>
          <w:p>
            <w:pPr>
              <w:rPr>
                <w:color w:val="000000"/>
              </w:rPr>
            </w:pPr>
            <w:r>
              <w:rPr>
                <w:color w:val="000000"/>
              </w:rPr>
              <w:t>- Ausgaben für Räumlichkeiten (Miete, Strom, Gas, Wasser, Heizung etc.)</w:t>
            </w:r>
          </w:p>
          <w:p>
            <w:pPr>
              <w:rPr>
                <w:color w:val="000000"/>
              </w:rPr>
            </w:pPr>
            <w:r>
              <w:rPr>
                <w:color w:val="000000"/>
              </w:rPr>
              <w:t xml:space="preserve">- Büroausstattung und -bedarf </w:t>
            </w:r>
          </w:p>
          <w:p>
            <w:pPr>
              <w:rPr>
                <w:color w:val="000000"/>
              </w:rPr>
            </w:pPr>
            <w:r>
              <w:rPr>
                <w:color w:val="000000"/>
              </w:rPr>
              <w:t xml:space="preserve">- Verbrauchsmaterialien </w:t>
            </w:r>
            <w:r>
              <w:t>(Briefumschläge, Druckerpatronen, Papier, Kopien)</w:t>
            </w:r>
          </w:p>
          <w:p>
            <w:pPr>
              <w:rPr>
                <w:color w:val="000000"/>
              </w:rPr>
            </w:pPr>
            <w:r>
              <w:rPr>
                <w:color w:val="000000"/>
              </w:rPr>
              <w:t>- nicht projektbezogene Support- und Lizenzkosten</w:t>
            </w:r>
          </w:p>
          <w:p>
            <w:pPr>
              <w:rPr>
                <w:color w:val="000000"/>
              </w:rPr>
            </w:pPr>
            <w:r>
              <w:rPr>
                <w:color w:val="000000"/>
              </w:rPr>
              <w:t xml:space="preserve">- sonstige Verwaltungskosten </w:t>
            </w:r>
            <w:bookmarkStart w:id="0" w:name="_GoBack"/>
            <w:bookmarkEnd w:id="0"/>
            <w:r>
              <w:rPr>
                <w:color w:val="000000"/>
              </w:rPr>
              <w:t>(Telefon, Kopierer etc.)</w:t>
            </w:r>
          </w:p>
          <w:p>
            <w:pPr>
              <w:rPr>
                <w:color w:val="000000"/>
              </w:rPr>
            </w:pPr>
            <w:r>
              <w:rPr>
                <w:color w:val="000000"/>
              </w:rPr>
              <w:t>- Personalausgaben für Büro- und Reinigungskraft etc.</w:t>
            </w:r>
          </w:p>
        </w:tc>
      </w:tr>
      <w:tr>
        <w:trPr>
          <w:trHeight w:val="60"/>
        </w:trPr>
        <w:tc>
          <w:tcPr>
            <w:tcW w:w="10065" w:type="dxa"/>
            <w:tcBorders>
              <w:top w:val="nil"/>
            </w:tcBorders>
          </w:tcPr>
          <w:p>
            <w:pPr>
              <w:autoSpaceDE w:val="0"/>
              <w:autoSpaceDN w:val="0"/>
              <w:spacing w:line="288" w:lineRule="auto"/>
              <w:ind w:right="113"/>
              <w:jc w:val="both"/>
              <w:rPr>
                <w:bCs/>
              </w:rPr>
            </w:pPr>
          </w:p>
        </w:tc>
      </w:tr>
    </w:tbl>
    <w:p>
      <w:pPr>
        <w:spacing w:before="120" w:after="40" w:line="320" w:lineRule="exact"/>
        <w:ind w:left="-426"/>
        <w:rPr>
          <w:b/>
          <w:bCs/>
          <w:iCs/>
          <w:sz w:val="20"/>
          <w:szCs w:val="20"/>
        </w:rPr>
      </w:pPr>
      <w:r>
        <w:rPr>
          <w:b/>
          <w:bCs/>
          <w:iCs/>
          <w:sz w:val="20"/>
          <w:szCs w:val="20"/>
        </w:rPr>
        <w:t>Ich/wir bestätige/n die o.g. Hinweise zu beachten.</w:t>
      </w:r>
    </w:p>
    <w:p>
      <w:pPr>
        <w:spacing w:before="120" w:after="40" w:line="320" w:lineRule="exact"/>
        <w:ind w:left="-426"/>
        <w:rPr>
          <w:bCs/>
          <w:iCs/>
          <w:sz w:val="20"/>
          <w:szCs w:val="20"/>
        </w:rPr>
      </w:pPr>
    </w:p>
    <w:p>
      <w:pPr>
        <w:spacing w:before="120" w:after="40" w:line="320" w:lineRule="exact"/>
        <w:ind w:left="-426"/>
        <w:rPr>
          <w:bCs/>
          <w:iCs/>
          <w:sz w:val="20"/>
          <w:szCs w:val="20"/>
        </w:rPr>
      </w:pPr>
    </w:p>
    <w:tbl>
      <w:tblPr>
        <w:tblW w:w="9851" w:type="dxa"/>
        <w:tblInd w:w="-284" w:type="dxa"/>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bottom w:val="single" w:sz="4" w:space="0" w:color="auto"/>
            </w:tcBorders>
          </w:tcPr>
          <w:p>
            <w:pPr>
              <w:autoSpaceDE w:val="0"/>
              <w:autoSpaceDN w:val="0"/>
              <w:spacing w:before="20" w:line="288" w:lineRule="auto"/>
              <w:ind w:right="142"/>
              <w:jc w:val="center"/>
              <w:rPr>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09" w:type="dxa"/>
          </w:tcPr>
          <w:p>
            <w:pPr>
              <w:autoSpaceDE w:val="0"/>
              <w:autoSpaceDN w:val="0"/>
              <w:spacing w:before="20" w:line="288" w:lineRule="auto"/>
              <w:ind w:right="142"/>
              <w:jc w:val="center"/>
              <w:rPr>
                <w:bCs/>
                <w:sz w:val="20"/>
                <w:szCs w:val="20"/>
              </w:rPr>
            </w:pPr>
          </w:p>
        </w:tc>
        <w:tc>
          <w:tcPr>
            <w:tcW w:w="5386" w:type="dxa"/>
            <w:tcBorders>
              <w:bottom w:val="single" w:sz="4" w:space="0" w:color="auto"/>
            </w:tcBorders>
          </w:tcPr>
          <w:p>
            <w:pPr>
              <w:autoSpaceDE w:val="0"/>
              <w:autoSpaceDN w:val="0"/>
              <w:spacing w:before="20" w:line="288" w:lineRule="auto"/>
              <w:ind w:right="142"/>
              <w:jc w:val="center"/>
              <w:rPr>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756" w:type="dxa"/>
            <w:tcBorders>
              <w:top w:val="single" w:sz="4" w:space="0" w:color="auto"/>
            </w:tcBorders>
          </w:tcPr>
          <w:p>
            <w:pPr>
              <w:autoSpaceDE w:val="0"/>
              <w:autoSpaceDN w:val="0"/>
              <w:spacing w:before="20" w:line="288" w:lineRule="auto"/>
              <w:ind w:right="142"/>
              <w:jc w:val="center"/>
              <w:rPr>
                <w:bCs/>
                <w:sz w:val="16"/>
                <w:szCs w:val="20"/>
              </w:rPr>
            </w:pPr>
            <w:r>
              <w:rPr>
                <w:bCs/>
                <w:sz w:val="16"/>
                <w:szCs w:val="20"/>
              </w:rPr>
              <w:t>(Ort, Datum)</w:t>
            </w:r>
          </w:p>
        </w:tc>
        <w:tc>
          <w:tcPr>
            <w:tcW w:w="709" w:type="dxa"/>
          </w:tcPr>
          <w:p>
            <w:pPr>
              <w:autoSpaceDE w:val="0"/>
              <w:autoSpaceDN w:val="0"/>
              <w:spacing w:before="20" w:line="288" w:lineRule="auto"/>
              <w:ind w:right="142"/>
              <w:jc w:val="center"/>
              <w:rPr>
                <w:bCs/>
                <w:sz w:val="20"/>
                <w:szCs w:val="20"/>
              </w:rPr>
            </w:pPr>
          </w:p>
        </w:tc>
        <w:tc>
          <w:tcPr>
            <w:tcW w:w="5386" w:type="dxa"/>
            <w:tcBorders>
              <w:top w:val="single" w:sz="4" w:space="0" w:color="auto"/>
            </w:tcBorders>
          </w:tcPr>
          <w:p>
            <w:pPr>
              <w:autoSpaceDE w:val="0"/>
              <w:autoSpaceDN w:val="0"/>
              <w:spacing w:before="20" w:line="288" w:lineRule="auto"/>
              <w:ind w:right="142"/>
              <w:jc w:val="center"/>
              <w:rPr>
                <w:bCs/>
                <w:sz w:val="16"/>
                <w:szCs w:val="20"/>
              </w:rPr>
            </w:pPr>
            <w:r>
              <w:rPr>
                <w:bCs/>
                <w:sz w:val="16"/>
                <w:szCs w:val="20"/>
              </w:rPr>
              <w:t xml:space="preserve">(Firmenstempel, </w:t>
            </w:r>
            <w:r>
              <w:rPr>
                <w:sz w:val="16"/>
                <w:szCs w:val="20"/>
              </w:rPr>
              <w:t>R</w:t>
            </w:r>
            <w:r>
              <w:rPr>
                <w:bCs/>
                <w:sz w:val="16"/>
                <w:szCs w:val="20"/>
              </w:rPr>
              <w:t>echtsverbindliche Unterschrift)</w:t>
            </w:r>
          </w:p>
        </w:tc>
      </w:tr>
    </w:tbl>
    <w:p>
      <w:pPr>
        <w:spacing w:before="120" w:after="40" w:line="320" w:lineRule="exact"/>
        <w:ind w:left="-426"/>
        <w:rPr>
          <w:bCs/>
          <w:iCs/>
          <w:sz w:val="20"/>
          <w:szCs w:val="20"/>
        </w:rPr>
      </w:pPr>
    </w:p>
    <w:sectPr>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16"/>
      </w:rPr>
    </w:pPr>
    <w:r>
      <w:rPr>
        <w:sz w:val="16"/>
      </w:rPr>
      <w:t>Stand: 28.05.2025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ind w:right="-1"/>
      <w:jc w:val="right"/>
      <w:rPr>
        <w:b/>
        <w:sz w:val="14"/>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94DC3-1753-4F48-9C22-1B53F03F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eastAsia="Times New Roman" w:hAnsi="Arial" w:cs="Arial"/>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BB23-3756-40E3-921E-18B738EE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Julia</dc:creator>
  <cp:keywords/>
  <dc:description/>
  <cp:lastModifiedBy>Serbest, Asli</cp:lastModifiedBy>
  <cp:revision>14</cp:revision>
  <dcterms:created xsi:type="dcterms:W3CDTF">2025-01-28T09:50:00Z</dcterms:created>
  <dcterms:modified xsi:type="dcterms:W3CDTF">2025-05-30T05:59:00Z</dcterms:modified>
</cp:coreProperties>
</file>