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41"/>
        <w:gridCol w:w="5209"/>
        <w:gridCol w:w="2806"/>
      </w:tblGrid>
      <w:tr>
        <w:trPr>
          <w:tblHeader/>
        </w:trPr>
        <w:tc>
          <w:tcPr>
            <w:tcW w:w="5000" w:type="pct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Angewandte Normen 17043</w:t>
            </w:r>
          </w:p>
        </w:tc>
      </w:tr>
      <w:tr>
        <w:trPr>
          <w:tblHeader/>
        </w:trPr>
        <w:tc>
          <w:tcPr>
            <w:tcW w:w="1167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Norm/Ausgabedatum</w:t>
            </w:r>
          </w:p>
        </w:tc>
        <w:tc>
          <w:tcPr>
            <w:tcW w:w="2491" w:type="pct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Titel der Norm</w:t>
            </w:r>
          </w:p>
        </w:tc>
        <w:tc>
          <w:tcPr>
            <w:tcW w:w="1342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Vorläufer-Version</w:t>
            </w: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VDI 4221 Blatt 1</w:t>
            </w:r>
            <w:r>
              <w:rPr>
                <w:rFonts w:ascii="Arial" w:hAnsi="Arial" w:cs="Arial"/>
              </w:rPr>
              <w:br/>
              <w:t>2015-07</w:t>
            </w: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Qualitätssicherung - Anforderungen an Ringversuche im Bereich des Immissionsschutzes - Anforderungen an Anbieter von Ringversuchen</w:t>
            </w: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VDI 4221 Blatt 3</w:t>
            </w:r>
            <w:r>
              <w:rPr>
                <w:rFonts w:ascii="Arial" w:hAnsi="Arial" w:cs="Arial"/>
              </w:rPr>
              <w:br/>
              <w:t>2018-01</w:t>
            </w: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Qualitätssicherung - Anforderungen an Ringversuche im Bereich des Immissionsschutzes - Entwicklung, Durchführung und Auswertung von Ringversuchen für Immissionsmessverfahren an Prüfgasverteileranlagen</w:t>
            </w: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14211</w:t>
            </w:r>
            <w:r>
              <w:rPr>
                <w:rFonts w:ascii="Arial" w:hAnsi="Arial" w:cs="Arial"/>
              </w:rPr>
              <w:br/>
              <w:t>2012-11</w:t>
            </w:r>
          </w:p>
        </w:tc>
        <w:tc>
          <w:tcPr>
            <w:tcW w:w="2491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Außenluft – Messverfahren zur Bestimmung der Konzentration von Stickstoffdioxid und Stickstoffmonoxid mit Chemilumineszenz </w:t>
            </w:r>
          </w:p>
        </w:tc>
        <w:tc>
          <w:tcPr>
            <w:tcW w:w="1342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06-2005</w:t>
            </w:r>
            <w:r>
              <w:rPr>
                <w:rFonts w:ascii="Arial" w:hAnsi="Arial" w:cs="Arial"/>
              </w:rPr>
              <w:br/>
              <w:t>Entwurf 02-2012</w:t>
            </w:r>
          </w:p>
        </w:tc>
      </w:tr>
      <w:tr>
        <w:tc>
          <w:tcPr>
            <w:tcW w:w="116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VDI 2453-2</w:t>
            </w:r>
            <w:r>
              <w:rPr>
                <w:rFonts w:ascii="Arial" w:hAnsi="Arial" w:cs="Arial"/>
              </w:rPr>
              <w:br/>
              <w:t>2002-10</w:t>
            </w:r>
          </w:p>
        </w:tc>
        <w:tc>
          <w:tcPr>
            <w:tcW w:w="2491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Messen gasförmiger Immissionen - Messen der Stickstoffmonoxid- und Stickstoffdioxid-Konzentration - Kalibrierung von NO/NOx- Chemilumineszenz-Messgeräten mit Hilfe der Gasphasentitration</w:t>
            </w:r>
          </w:p>
        </w:tc>
        <w:tc>
          <w:tcPr>
            <w:tcW w:w="1342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Entwurf 12-2000</w:t>
            </w: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16339</w:t>
            </w:r>
            <w:r>
              <w:rPr>
                <w:rFonts w:ascii="Arial" w:hAnsi="Arial" w:cs="Arial"/>
              </w:rPr>
              <w:br/>
              <w:t>2013-11</w:t>
            </w: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Außenluft – Bestimmung der Konzentration von Stickstoffdioxid mittels Passivsammler</w:t>
            </w: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Entwurf 11-2011</w:t>
            </w: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14212</w:t>
            </w:r>
            <w:r>
              <w:rPr>
                <w:rFonts w:ascii="Arial" w:hAnsi="Arial" w:cs="Arial"/>
              </w:rPr>
              <w:br/>
              <w:t>2012-11 + Berichtigung 2014-08</w:t>
            </w:r>
          </w:p>
        </w:tc>
        <w:tc>
          <w:tcPr>
            <w:tcW w:w="2491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Außenluft – Messverfahren zur Bestimmung der Konzentration von Schwefeldioxid mit Ultraviolett-Fluoreszenz </w:t>
            </w:r>
          </w:p>
        </w:tc>
        <w:tc>
          <w:tcPr>
            <w:tcW w:w="1342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06-2005</w:t>
            </w:r>
            <w:r>
              <w:rPr>
                <w:rFonts w:ascii="Arial" w:hAnsi="Arial" w:cs="Arial"/>
              </w:rPr>
              <w:br/>
              <w:t>02-2012</w:t>
            </w:r>
          </w:p>
        </w:tc>
      </w:tr>
      <w:tr>
        <w:tc>
          <w:tcPr>
            <w:tcW w:w="116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14625</w:t>
            </w:r>
            <w:r>
              <w:rPr>
                <w:rFonts w:ascii="Arial" w:hAnsi="Arial" w:cs="Arial"/>
              </w:rPr>
              <w:br/>
              <w:t>2012-12</w:t>
            </w:r>
          </w:p>
        </w:tc>
        <w:tc>
          <w:tcPr>
            <w:tcW w:w="2491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Außenluft – Messverfahren zur Bestimmung der Konzentration von Ozon mit Ultraviolett-Photometrie </w:t>
            </w:r>
          </w:p>
        </w:tc>
        <w:tc>
          <w:tcPr>
            <w:tcW w:w="1342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07-2005</w:t>
            </w:r>
            <w:r>
              <w:rPr>
                <w:rFonts w:ascii="Arial" w:hAnsi="Arial" w:cs="Arial"/>
              </w:rPr>
              <w:br/>
              <w:t>Entwurf 02-2010</w:t>
            </w: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ISO 13964</w:t>
            </w:r>
            <w:r>
              <w:rPr>
                <w:rFonts w:ascii="Arial" w:hAnsi="Arial" w:cs="Arial"/>
              </w:rPr>
              <w:br/>
              <w:t>1999-12</w:t>
            </w:r>
          </w:p>
        </w:tc>
        <w:tc>
          <w:tcPr>
            <w:tcW w:w="2491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Luftbeschaffenheit - Bestimmung von Ozon in Außenluft - UV- photometrisches Verfahren</w:t>
            </w:r>
          </w:p>
        </w:tc>
        <w:tc>
          <w:tcPr>
            <w:tcW w:w="1342" w:type="pct"/>
          </w:tcPr>
          <w:p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VDI 2468 Blatt 6:1979-07, Dieses Dokument wird vom Herausgeber ersatzlos zurückgezogenen </w:t>
            </w: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14626</w:t>
            </w:r>
            <w:r>
              <w:rPr>
                <w:rFonts w:ascii="Arial" w:hAnsi="Arial" w:cs="Arial"/>
              </w:rPr>
              <w:br/>
              <w:t>2012-12</w:t>
            </w: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Außenluft – Messverfahren zur Bestimmung der Konzentration von Kohlenmonoxid mit nicht-dispersiver Infrarot-Photometrie </w:t>
            </w: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07-2005</w:t>
            </w:r>
            <w:r>
              <w:rPr>
                <w:rFonts w:ascii="Arial" w:hAnsi="Arial" w:cs="Arial"/>
              </w:rPr>
              <w:br/>
              <w:t>Entwurf 02-2010</w:t>
            </w: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ISO 6144 2006-11</w:t>
            </w: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Gasanalyse - Herstellung von Prüfgasen - Volumetrisch-statisches Verfahren </w:t>
            </w: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ISO/02-2003</w:t>
            </w: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ISO 6145-1</w:t>
            </w:r>
            <w:r>
              <w:rPr>
                <w:rFonts w:ascii="Arial" w:hAnsi="Arial" w:cs="Arial"/>
              </w:rPr>
              <w:br/>
              <w:t>2020-02</w:t>
            </w: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Gasanalyse - Herstellung von Kalibriergasgemischen mit Hilfe von dynamisch-volumetrischen Verfahren - Teil :1 Kalibrierverfahren </w:t>
            </w: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ISO 6145-1 2008-11</w:t>
            </w:r>
            <w:r>
              <w:rPr>
                <w:rFonts w:ascii="Arial" w:hAnsi="Arial" w:cs="Arial"/>
              </w:rPr>
              <w:br/>
              <w:t>ISO/11-2003</w:t>
            </w: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pageBreakBefore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DIN EN ISO 6145-7</w:t>
            </w:r>
            <w:r>
              <w:rPr>
                <w:rFonts w:ascii="Arial" w:hAnsi="Arial" w:cs="Arial"/>
              </w:rPr>
              <w:br/>
              <w:t>2019-07</w:t>
            </w: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Gasanalyse - Herstellung von Kalibriergas-gemischen mit Hilfe von dynamisch-volumetrischen Verfahren – Teil 7: Thermische Massendurchflussregler </w:t>
            </w: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ISO 6145-7 2011-03</w:t>
            </w:r>
            <w:r>
              <w:rPr>
                <w:rFonts w:ascii="Arial" w:hAnsi="Arial" w:cs="Arial"/>
              </w:rPr>
              <w:br/>
              <w:t>ISO/04-2009</w:t>
            </w: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</w:p>
        </w:tc>
      </w:tr>
      <w:tr>
        <w:tc>
          <w:tcPr>
            <w:tcW w:w="1167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 EN ISO 6145-10 2008-11</w:t>
            </w:r>
          </w:p>
        </w:tc>
        <w:tc>
          <w:tcPr>
            <w:tcW w:w="2491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Gasanalyse - Herstellung von Kalibriergasgemischen mit Hilfe von dynamisch-volumetrischen Verfahren – Teil 10: Permeationsverfahren</w:t>
            </w:r>
          </w:p>
        </w:tc>
        <w:tc>
          <w:tcPr>
            <w:tcW w:w="1342" w:type="pct"/>
          </w:tcPr>
          <w:p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ISO/02-2002</w:t>
            </w:r>
          </w:p>
        </w:tc>
      </w:tr>
    </w:tbl>
    <w:p>
      <w:pPr>
        <w:pStyle w:val="Listenabsatz"/>
        <w:spacing w:after="100" w:afterAutospacing="1" w:line="240" w:lineRule="auto"/>
        <w:ind w:left="0"/>
        <w:rPr>
          <w:rFonts w:ascii="Arial" w:hAnsi="Arial" w:cs="Arial"/>
        </w:rPr>
      </w:pPr>
    </w:p>
    <w:sectPr>
      <w:headerReference w:type="default" r:id="rId8"/>
      <w:headerReference w:type="first" r:id="rId9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73"/>
      <w:gridCol w:w="4283"/>
    </w:tblGrid>
    <w:tr>
      <w:trPr>
        <w:cantSplit/>
        <w:trHeight w:val="1069"/>
      </w:trPr>
      <w:tc>
        <w:tcPr>
          <w:tcW w:w="2952" w:type="pct"/>
          <w:vAlign w:val="center"/>
        </w:tcPr>
        <w:p>
          <w:pPr>
            <w:spacing w:after="0" w:line="240" w:lineRule="auto"/>
            <w:jc w:val="center"/>
            <w:rPr>
              <w:rFonts w:ascii="Arial" w:eastAsia="Times New Roman" w:hAnsi="Arial" w:cs="Arial"/>
              <w:szCs w:val="28"/>
              <w:lang w:eastAsia="de-DE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  <w:lang w:eastAsia="de-DE"/>
            </w:rPr>
            <w:t>Angewandte Normen im Fachbereich 43</w:t>
          </w:r>
        </w:p>
      </w:tc>
      <w:tc>
        <w:tcPr>
          <w:tcW w:w="2048" w:type="pct"/>
          <w:vAlign w:val="center"/>
        </w:tcPr>
        <w:p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de-DE"/>
            </w:rPr>
          </w:pPr>
          <w:r>
            <w:rPr>
              <w:rFonts w:ascii="Arial" w:eastAsia="Times New Roman" w:hAnsi="Arial" w:cs="Times New Roman"/>
              <w:noProof/>
              <w:lang w:eastAsia="de-DE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29845</wp:posOffset>
                </wp:positionV>
                <wp:extent cx="1878965" cy="410210"/>
                <wp:effectExtent l="0" t="0" r="6985" b="8890"/>
                <wp:wrapNone/>
                <wp:docPr id="1" name="Grafik 1" descr="http://intranet.lanuv.nrw.de/abteilungen/abt_3/fb_36/lanuv_schw_weis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intranet.lanuv.nrw.de/abteilungen/abt_3/fb_36/lanuv_schw_weis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73"/>
      <w:gridCol w:w="4283"/>
    </w:tblGrid>
    <w:tr>
      <w:trPr>
        <w:cantSplit/>
        <w:trHeight w:val="1069"/>
      </w:trPr>
      <w:tc>
        <w:tcPr>
          <w:tcW w:w="2952" w:type="pct"/>
          <w:vAlign w:val="center"/>
        </w:tcPr>
        <w:p>
          <w:pPr>
            <w:spacing w:after="0" w:line="240" w:lineRule="auto"/>
            <w:jc w:val="center"/>
            <w:rPr>
              <w:rFonts w:ascii="Arial" w:eastAsia="Times New Roman" w:hAnsi="Arial" w:cs="Arial"/>
              <w:szCs w:val="28"/>
              <w:lang w:eastAsia="de-DE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  <w:lang w:eastAsia="de-DE"/>
            </w:rPr>
            <w:t>Angewandte Normen im Fachbereich 43</w:t>
          </w:r>
        </w:p>
      </w:tc>
      <w:tc>
        <w:tcPr>
          <w:tcW w:w="2048" w:type="pct"/>
          <w:vAlign w:val="center"/>
        </w:tcPr>
        <w:p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8"/>
              <w:szCs w:val="28"/>
              <w:lang w:eastAsia="de-DE"/>
            </w:rPr>
          </w:pPr>
          <w:r>
            <w:rPr>
              <w:rFonts w:ascii="Arial" w:eastAsia="Times New Roman" w:hAnsi="Arial" w:cs="Times New Roman"/>
              <w:noProof/>
              <w:lang w:eastAsia="de-DE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29845</wp:posOffset>
                </wp:positionV>
                <wp:extent cx="1878965" cy="410210"/>
                <wp:effectExtent l="0" t="0" r="6985" b="8890"/>
                <wp:wrapNone/>
                <wp:docPr id="4" name="Grafik 4" descr="http://intranet.lanuv.nrw.de/abteilungen/abt_3/fb_36/lanuv_schw_weis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http://intranet.lanuv.nrw.de/abteilungen/abt_3/fb_36/lanuv_schw_weis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896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90C18"/>
    <w:multiLevelType w:val="hybridMultilevel"/>
    <w:tmpl w:val="49FCC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714B360-BF13-4639-9859-C3115A5E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6690-B3B9-44CF-8C67-B0CD9F72C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Hagmeye</dc:creator>
  <cp:lastModifiedBy>Hagmeyer, Sabine</cp:lastModifiedBy>
  <cp:revision>2</cp:revision>
  <cp:lastPrinted>2023-01-16T13:30:00Z</cp:lastPrinted>
  <dcterms:created xsi:type="dcterms:W3CDTF">2024-05-29T10:55:00Z</dcterms:created>
  <dcterms:modified xsi:type="dcterms:W3CDTF">2024-05-29T10:55:00Z</dcterms:modified>
</cp:coreProperties>
</file>